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3007"/>
          <w:tab w:val="right" w:leader="none" w:pos="13927"/>
        </w:tabs>
        <w:ind w:left="-709" w:firstLine="0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  <w:rtl w:val="0"/>
        </w:rPr>
        <w:t xml:space="preserve">Организаторы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shd w:fill="auto" w:val="clear"/>
          <w:vertAlign w:val="baseline"/>
          <w:rtl w:val="0"/>
        </w:rPr>
        <w:t xml:space="preserve">–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Продюсерский центр “ФестРегион”,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МАУ "Городской парк</w:t>
      </w:r>
      <w:r w:rsidDel="00000000" w:rsidR="00000000" w:rsidRPr="00000000">
        <w:rPr>
          <w:rFonts w:ascii="Times New Roman" w:cs="Times New Roman" w:eastAsia="Times New Roman" w:hAnsi="Times New Roman"/>
          <w:color w:val="a8a8aa"/>
          <w:sz w:val="28"/>
          <w:szCs w:val="28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, при поддержке комиссии по образованию Наро-Фоминского городского округа Московской области в лице Тихоновой Ольги Павловны.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Дата и место проведения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 –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13-14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июня 20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г., г. Обнинск Калужская область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, Городской парк, открытая площадка.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Участники-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 приглашаются участники из творческих коллективов Дворцов и Домов культуры и дополнительного образования, Детских садов, общеобразовательных школ, студий, кружков,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ССУЗов, детских школ искусств, театров, учащихся училищ-академий и колледжей, творческих центров и других учебных и коммерческих организаций и учреждений, фитнес-центров.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u w:val="single"/>
          <w:rtl w:val="0"/>
        </w:rPr>
        <w:t xml:space="preserve">Общее положение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40"/>
          <w:szCs w:val="4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о проведении 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открытого межрегионального фестиваля-конкурса детского и юношеского творчества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 «Непохожие» 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36"/>
            <w:szCs w:val="36"/>
            <w:u w:val="single"/>
            <w:rtl w:val="0"/>
          </w:rPr>
          <w:t xml:space="preserve">https://vk.com/festregion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4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Настоящее положение определяет цели, порядок и сроки организации, проведения и награждения победителей открытого межрегионального фестиваля-конкурса детского и юношеского творчества «Непохожие» (далее фестиваль).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14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Фестиваль проводится в соответствии с планом мероприятий на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6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Цели фестиваля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Эстетическое воспитание подрастающего поколения, формирование у детей, подростков и молодёжи художественного вкуса, потребности в творческом росте.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профессионального мастерства участников и руководителей творческих коллективов.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Выявление и поддержка талантливых детей и 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Пропаганда здорового образа жизни и полноценного досуга среди населения.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Привлечение к занятиям творчеством детей, подростков и молодежи.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108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повышение эстетических интересов зрителей.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747"/>
          <w:tab w:val="center" w:leader="none" w:pos="3776"/>
        </w:tabs>
        <w:spacing w:after="4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leader="none" w:pos="747"/>
          <w:tab w:val="center" w:leader="none" w:pos="3776"/>
        </w:tabs>
        <w:spacing w:after="43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проводится в следующих номинациях: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47"/>
          <w:tab w:val="center" w:leader="none" w:pos="3776"/>
        </w:tabs>
        <w:spacing w:after="0" w:before="0" w:line="266" w:lineRule="auto"/>
        <w:ind w:left="56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«Вокал»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(ансамбли и солисты;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народный; эстрадный; патриотическая песня; автор-исполнитель)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47"/>
          <w:tab w:val="center" w:leader="none" w:pos="3776"/>
        </w:tabs>
        <w:spacing w:after="0" w:before="0" w:line="266" w:lineRule="auto"/>
        <w:ind w:left="56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«Хореография»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((ансамбли и солисты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современн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хореография (джаз, модерн, джаз-модерн, нео-классика, свободная пластика)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сценический народный танец; народно-стилизованный танец;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эстрадный танец;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спортивный танец;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классический танец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эстрадно-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бальный танец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исторические танцы;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танцы народов мира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 уличные танцы (все направления); патриотический танец.)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47"/>
          <w:tab w:val="center" w:leader="none" w:pos="3776"/>
        </w:tabs>
        <w:spacing w:after="0" w:before="0" w:line="266" w:lineRule="auto"/>
        <w:ind w:left="56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«Оригинальный жанр»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акробатика, гимнастика, шумовые оркестры, пантомима, клоунада и т.д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.);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47"/>
          <w:tab w:val="center" w:leader="none" w:pos="3776"/>
        </w:tabs>
        <w:spacing w:after="37" w:before="0" w:line="266" w:lineRule="auto"/>
        <w:ind w:left="566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«Театры малых форм»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(эстрадная миниатюра, скетч, фарс, водевиль, пластическая или литературная композиция, каламбур, репризы, куплеты и т.д.).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" w:line="269" w:lineRule="auto"/>
        <w:ind w:left="571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Возрастные группы: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291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детская: 3-6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291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детская: 6-8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291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младшая: 8-10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1291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средняя 10-12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" w:before="0" w:line="269" w:lineRule="auto"/>
        <w:ind w:left="1291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старшая 12-16 лет;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" w:line="259" w:lineRule="auto"/>
        <w:ind w:left="566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*смешанная детская: 4 – 9 лет; смешанная старшая: 10 – 18 лет. </w:t>
      </w:r>
    </w:p>
    <w:p w:rsidR="00000000" w:rsidDel="00000000" w:rsidP="00000000" w:rsidRDefault="00000000" w:rsidRPr="00000000" w14:paraId="00000023">
      <w:pPr>
        <w:spacing w:after="20" w:line="259" w:lineRule="auto"/>
        <w:ind w:left="566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! В заявленной возрастной группе допускаются не более 25 % участников из другой возрастной группы.</w:t>
      </w:r>
    </w:p>
    <w:p w:rsidR="00000000" w:rsidDel="00000000" w:rsidP="00000000" w:rsidRDefault="00000000" w:rsidRPr="00000000" w14:paraId="00000024">
      <w:pPr>
        <w:spacing w:after="20" w:line="259" w:lineRule="auto"/>
        <w:ind w:left="566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Общие условия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Конкурсные выступления и опробование сцены организуются оргкомитетом.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Оценки конкурсантам выставляются после каждого выступления.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В случае необходимости оргкомитет оставляет за собой право вносить изменения и дополнения в условия проведения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Фонограмма (подписанная) в формате MP3 или Wav присылается на электронную почту вместе с заявкой либо после её одобрения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 (если фонограмма изменилась необходимо прислать на почту заново с указанием названием коллектива и присвоенного номера не позднее, чем за 3 дня до начала конкурса) дополнительно трек должен быть на usb-носителе (флэшке) в день конкурса. Подача запасных или дополнительных фонограмм звукорежиссеру производится в перерыве между номинациями и на опробование сцены.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14"/>
          <w:sz w:val="28"/>
          <w:szCs w:val="28"/>
          <w:highlight w:val="white"/>
          <w:u w:val="none"/>
          <w:vertAlign w:val="baseline"/>
          <w:rtl w:val="0"/>
        </w:rPr>
        <w:t xml:space="preserve">Запрещается использовать фонограммы низкого технического уровня. При плохой фонограмме номер снимается с конкурса.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Замена репертуара менее чем за 3 дня до начала конкурса запрещена!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Работа жюри. Оценка выступлений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Ответственность за формирование состава жюри и контроль над его работой возлагается на оргкомитет.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141414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 Представители оргкомитета не являются членами жюри, не участвуют в голосовании.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Жюри не имеет право разглашать результаты конкурса до официального объявления.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 Каждый член жюри имеет право голоса, ведет обсуждение до принятия решения всеми членами жюри.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Жюри оценивает выступление конкурсантов, совещается по окончании номинации и выносит окончательное решение.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Жюри не учитывает материальные возможности, социальную принадлежность, национальность и место жительства конкурсантов – только творчество на абсолютно равных условиях согласно настоящего положения.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  Конкурсанты оцениваются по сумме баллов.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•</w:t>
      </w:r>
      <w:r w:rsidDel="00000000" w:rsidR="00000000" w:rsidRPr="00000000">
        <w:rPr>
          <w:rFonts w:ascii="Times New Roman" w:cs="Times New Roman" w:eastAsia="Times New Roman" w:hAnsi="Times New Roman"/>
          <w:color w:val="141414"/>
          <w:sz w:val="28"/>
          <w:szCs w:val="28"/>
          <w:highlight w:val="white"/>
          <w:rtl w:val="0"/>
        </w:rPr>
        <w:t xml:space="preserve"> По решению жюри на Гала-концерт приглашаются номера, набравшие максимальное количество баллов. </w:t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Фестивальный взнос: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650 руб./чел. - от 4 чел., 1 номер.; 800 руб./чел. 2 номера; каждый следующий номер - 450₽/чел.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800 руб./чел. – трио, 1 номер., 1200 руб./чел. 2 номера; каждый следующий номер - 600 руб./чел.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1000 руб./чел. – дуэты, 1 номер., 1500 руб./чел. 2 номера; каждый следующий номер - 800 руб./чел.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• 1200 руб./чел. – соло, 1 номер.;  1800 руб./чел. 2 номера; каждый следующий номер - 900 руб./чел.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1, 2 или в 3 номерах в любых номинациях (соло, дуэт и трио оплачивается отдельно от группы).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фестивальный взнос входит кубок и диплом на коллектив. 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желанию на каждого участника можно заказать дополнительно: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Грамоты каждому участнику: 200р.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Медаль каждому участнику: 400р.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Кубок каждому участнику: 900р.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После подтверждения участия, вам выставляется счет на 30% оплату целевых взносов любым удобным вам способом (безналичным, наличным, почтовым, другим способом);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Окончательная оплата может быть осуществлена любым удобным для вас способом: наличным или безналичным в день фестиваля.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hd w:fill="ffffff" w:val="clear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В случае отказа от участия в конкурсе необходимо незамедлительно сообщить об этом в оргкомитет. Только в этом случае организаторы сделают все возможное по возврату уже внесенных средств.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Расписание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будет известно и направлено, на электронную почту, указанную в заявке за 6 дней до проведения конкурса.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ВНИМАНИЕ! 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На каждое направление и возрастную категорию необходимо подать отдельную заявку;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После подачи заявки, вы получите подтверждение приема заявки от оргкомитета (если такого не случилось, то повторите отправление или свяжитесь по любому удобному для вас телефону: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u w:val="single"/>
          <w:rtl w:val="0"/>
        </w:rPr>
        <w:t xml:space="preserve">+7 (902)985 04 98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, +7 (953)3108990,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+7 (980) 5135012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Каждая группа коллектива может участвовать и подать заявку в несколько номинаций;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hd w:fill="ffffff" w:val="clear"/>
        <w:spacing w:after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В каждом направлении: ансамбли и малые формы представляют один или два разнохарактерных номера общей продолжительностью до 10 минут, а солисты и дуэты по одному номеру продолжительностью до 4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  <w:rtl w:val="0"/>
        </w:rPr>
        <w:t xml:space="preserve">Каждая номинация и каждая возрастная категория оплачивается отдельно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2.00000000000003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rPr>
          <w:rFonts w:ascii="Times New Roman" w:cs="Times New Roman" w:eastAsia="Times New Roman" w:hAnsi="Times New Roman"/>
          <w:b w:val="1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9"/>
          <w:szCs w:val="29"/>
          <w:rtl w:val="0"/>
        </w:rPr>
        <w:t xml:space="preserve">Проведение фестиваля: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Все конкурсные выступления проводятся публично и их могут посетить все желающие;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Во время выступлений коллективам предоставляются помещения для подготовки и переодевания участников (за ценные вещи в данных помещениях оргкомитет ответственности не несет);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Проведение и подготовку всех фестивалей и мастер-классов осуществляет оргкомитет;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Все выступления распределены заранее по блокам, в соответствии с номинациями, направлениями и возрастными категориями (возможны исключения, связанные с трансфером или другими ситуациями форс-мажор);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Оргкомитет фестиваля и мастер-классов может использовать видео-, фото-, аудиоматериалы с данного мероприятия по своему усмотрению в рекламных целях или созданию информационной продукции в интернете.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shd w:fill="ffffff" w:val="clear"/>
        <w:ind w:left="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Фото и видеосъемка на фестивалях разрешена. Фото и видеосъемка мастер-классов возможна с разрешения ведущего урок педагога.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2.00000000000003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0"/>
        </w:tabs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highlight w:val="white"/>
          <w:rtl w:val="0"/>
        </w:rPr>
        <w:t xml:space="preserve">Для участия в конкурсе необходимо: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0"/>
        </w:tabs>
        <w:ind w:left="720" w:firstLine="0"/>
        <w:jc w:val="center"/>
        <w:rPr>
          <w:rFonts w:ascii="Times New Roman" w:cs="Times New Roman" w:eastAsia="Times New Roman" w:hAnsi="Times New Roman"/>
          <w:sz w:val="32"/>
          <w:szCs w:val="32"/>
          <w:highlight w:val="white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u w:val="single"/>
          <w:rtl w:val="0"/>
        </w:rPr>
        <w:t xml:space="preserve">Подать заявку до 25 мая 2025 г., заполнив форму: </w:t>
      </w:r>
    </w:p>
    <w:p w:rsidR="00000000" w:rsidDel="00000000" w:rsidP="00000000" w:rsidRDefault="00000000" w:rsidRPr="00000000" w14:paraId="00000054">
      <w:pPr>
        <w:tabs>
          <w:tab w:val="left" w:leader="none" w:pos="0"/>
        </w:tabs>
        <w:ind w:left="720" w:firstLine="0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0"/>
        </w:tabs>
        <w:ind w:left="0" w:firstLine="0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Хореография: </w:t>
      </w:r>
    </w:p>
    <w:p w:rsidR="00000000" w:rsidDel="00000000" w:rsidP="00000000" w:rsidRDefault="00000000" w:rsidRPr="00000000" w14:paraId="00000056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bookmarkStart w:colFirst="0" w:colLast="0" w:name="_heading=h.gjdgxs" w:id="0"/>
      <w:bookmarkEnd w:id="0"/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highlight w:val="white"/>
            <w:u w:val="single"/>
            <w:rtl w:val="0"/>
          </w:rPr>
          <w:t xml:space="preserve">https://forms.gle/Aub3ANtYu9tgpPSV8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bookmarkStart w:colFirst="0" w:colLast="0" w:name="_heading=h.j0pg7dhtwy8g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Оригинальный жанр. Театры:</w:t>
      </w:r>
    </w:p>
    <w:p w:rsidR="00000000" w:rsidDel="00000000" w:rsidP="00000000" w:rsidRDefault="00000000" w:rsidRPr="00000000" w14:paraId="00000058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bookmarkStart w:colFirst="0" w:colLast="0" w:name="_heading=h.30j0zll" w:id="2"/>
      <w:bookmarkEnd w:id="2"/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highlight w:val="white"/>
            <w:u w:val="single"/>
            <w:rtl w:val="0"/>
          </w:rPr>
          <w:t xml:space="preserve">https://forms.gle/NQUXKQBxR7RZzjaE8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bookmarkStart w:colFirst="0" w:colLast="0" w:name="_heading=h.pyilze7ypkvx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Вокал:</w:t>
      </w:r>
    </w:p>
    <w:p w:rsidR="00000000" w:rsidDel="00000000" w:rsidP="00000000" w:rsidRDefault="00000000" w:rsidRPr="00000000" w14:paraId="0000005A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highlight w:val="white"/>
            <w:u w:val="single"/>
            <w:rtl w:val="0"/>
          </w:rPr>
          <w:t xml:space="preserve">https://forms.gle/J1io4VHFFCytd1tm6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0"/>
        </w:tabs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0"/>
        </w:tabs>
        <w:jc w:val="left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highlight w:val="white"/>
          <w:rtl w:val="0"/>
        </w:rPr>
        <w:t xml:space="preserve">Контактная информация:</w:t>
      </w:r>
    </w:p>
    <w:p w:rsidR="00000000" w:rsidDel="00000000" w:rsidP="00000000" w:rsidRDefault="00000000" w:rsidRPr="00000000" w14:paraId="0000005D">
      <w:pPr>
        <w:tabs>
          <w:tab w:val="left" w:leader="none" w:pos="0"/>
        </w:tabs>
        <w:ind w:left="720" w:firstLine="0"/>
        <w:rPr>
          <w:rFonts w:ascii="Times New Roman" w:cs="Times New Roman" w:eastAsia="Times New Roman" w:hAnsi="Times New Roman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highlight w:val="white"/>
          <w:rtl w:val="0"/>
        </w:rPr>
        <w:t xml:space="preserve">Все уточняющие вопросы можно задать по электронной почте </w:t>
      </w:r>
    </w:p>
    <w:p w:rsidR="00000000" w:rsidDel="00000000" w:rsidP="00000000" w:rsidRDefault="00000000" w:rsidRPr="00000000" w14:paraId="0000005E">
      <w:pPr>
        <w:tabs>
          <w:tab w:val="left" w:leader="none" w:pos="0"/>
        </w:tabs>
        <w:spacing w:line="48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festregion@gmail.com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1f1f1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(сообщения присылать с пометкой «Непохожие» и название коллектива).</w:t>
      </w:r>
    </w:p>
    <w:p w:rsidR="00000000" w:rsidDel="00000000" w:rsidP="00000000" w:rsidRDefault="00000000" w:rsidRPr="00000000" w14:paraId="0000005F">
      <w:pPr>
        <w:shd w:fill="ffffff" w:val="clear"/>
        <w:jc w:val="center"/>
        <w:rPr>
          <w:rFonts w:ascii="Times New Roman" w:cs="Times New Roman" w:eastAsia="Times New Roman" w:hAnsi="Times New Roman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36"/>
          <w:szCs w:val="36"/>
          <w:u w:val="single"/>
          <w:rtl w:val="0"/>
        </w:rPr>
        <w:t xml:space="preserve">Тел.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u w:val="single"/>
          <w:rtl w:val="0"/>
        </w:rPr>
        <w:t xml:space="preserve"> </w:t>
        <w:tab/>
        <w:t xml:space="preserve">+ 7 902 9850498 (Дарья Солопова)</w:t>
      </w:r>
    </w:p>
    <w:p w:rsidR="00000000" w:rsidDel="00000000" w:rsidP="00000000" w:rsidRDefault="00000000" w:rsidRPr="00000000" w14:paraId="00000060">
      <w:pPr>
        <w:shd w:fill="ffffff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+7 953 3108990 (Юлия Котельникова) ; +7 980 5135012 (Ульяна Шорина)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9"/>
          <w:szCs w:val="29"/>
          <w:rtl w:val="0"/>
        </w:rPr>
        <w:t xml:space="preserve">                 Каждый день с 9.00 до 20.00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1.3779527559075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129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1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3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5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7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9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1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3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51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2.00000000000003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20" w:lineRule="auto"/>
    </w:pPr>
    <w:rPr>
      <w:rFonts w:ascii="Calibri" w:cs="Calibri" w:eastAsia="Calibri" w:hAnsi="Calibri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20" w:lineRule="auto"/>
    </w:pPr>
    <w:rPr>
      <w:rFonts w:ascii="Calibri" w:cs="Calibri" w:eastAsia="Calibri" w:hAnsi="Calibri"/>
      <w:b w:val="1"/>
      <w:i w:val="1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  <w:style w:type="paragraph" w:styleId="Subtitle">
    <w:name w:val="Subtitle"/>
    <w:basedOn w:val="Normal"/>
    <w:next w:val="Normal"/>
    <w:pPr>
      <w:spacing w:after="240" w:lineRule="auto"/>
      <w:jc w:val="center"/>
    </w:pPr>
    <w:rPr>
      <w:rFonts w:ascii="Calibri" w:cs="Calibri" w:eastAsia="Calibri" w:hAnsi="Calibri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festregion@gmail.com" TargetMode="External"/><Relationship Id="rId10" Type="http://schemas.openxmlformats.org/officeDocument/2006/relationships/hyperlink" Target="https://forms.gle/J1io4VHFFCytd1tm6" TargetMode="External"/><Relationship Id="rId9" Type="http://schemas.openxmlformats.org/officeDocument/2006/relationships/hyperlink" Target="https://forms.gle/NQUXKQBxR7RZzjaE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festregion" TargetMode="External"/><Relationship Id="rId8" Type="http://schemas.openxmlformats.org/officeDocument/2006/relationships/hyperlink" Target="https://forms.gle/Aub3ANtYu9tgpPSV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8m5PUYchDC2O53CfqtudL3ehJg==">CgMxLjAyCGguZ2pkZ3hzMg5oLmowcGc3ZGh0d3k4ZzIJaC4zMGowemxsMg5oLnB5aWx6ZTd5cGt2eDgAciExR3N6cUZOSi05bS16X1hydzhHRGM1S2xpc01TYVdxNHE=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